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2A0E7">
      <w:pPr>
        <w:pStyle w:val="5"/>
        <w:numPr>
          <w:ilvl w:val="0"/>
          <w:numId w:val="0"/>
        </w:numPr>
        <w:spacing w:line="360" w:lineRule="auto"/>
        <w:ind w:leftChars="0"/>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Supplementary Table 9</w:t>
      </w:r>
      <w:bookmarkStart w:id="1" w:name="_GoBack"/>
      <w:bookmarkEnd w:id="1"/>
      <w:r>
        <w:rPr>
          <w:rFonts w:hint="eastAsia" w:ascii="Times New Roman" w:hAnsi="Times New Roman" w:eastAsia="宋体" w:cs="Times New Roman"/>
          <w:sz w:val="24"/>
          <w:szCs w:val="24"/>
          <w:lang w:val="en-US" w:eastAsia="zh-CN"/>
        </w:rPr>
        <w:t>. Genes associated with phenotypic regulation in the vicinity of space induced MITEs-TIPs</w:t>
      </w:r>
    </w:p>
    <w:tbl>
      <w:tblPr>
        <w:tblStyle w:val="3"/>
        <w:tblW w:w="13830"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2246"/>
        <w:gridCol w:w="1286"/>
        <w:gridCol w:w="1447"/>
        <w:gridCol w:w="1640"/>
        <w:gridCol w:w="4149"/>
        <w:gridCol w:w="1794"/>
      </w:tblGrid>
      <w:tr w14:paraId="61C6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2" w:hRule="atLeast"/>
        </w:trPr>
        <w:tc>
          <w:tcPr>
            <w:tcW w:w="1268" w:type="dxa"/>
            <w:tcBorders>
              <w:top w:val="single" w:color="000000" w:sz="8" w:space="0"/>
              <w:left w:val="nil"/>
              <w:bottom w:val="single" w:color="000000" w:sz="8" w:space="0"/>
              <w:right w:val="nil"/>
            </w:tcBorders>
            <w:vAlign w:val="center"/>
          </w:tcPr>
          <w:p w14:paraId="4AF9188D">
            <w:pPr>
              <w:spacing w:line="360" w:lineRule="auto"/>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sz w:val="20"/>
                <w:szCs w:val="20"/>
                <w:lang w:val="en-US" w:eastAsia="zh-CN"/>
              </w:rPr>
              <w:t>Space mutagenic lines</w:t>
            </w:r>
          </w:p>
        </w:tc>
        <w:tc>
          <w:tcPr>
            <w:tcW w:w="2246" w:type="dxa"/>
            <w:tcBorders>
              <w:top w:val="single" w:color="000000" w:sz="8" w:space="0"/>
              <w:left w:val="nil"/>
              <w:bottom w:val="single" w:color="000000" w:sz="8" w:space="0"/>
              <w:right w:val="nil"/>
            </w:tcBorders>
            <w:vAlign w:val="center"/>
          </w:tcPr>
          <w:p w14:paraId="382FD46E">
            <w:pPr>
              <w:spacing w:line="360" w:lineRule="auto"/>
              <w:jc w:val="center"/>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GO Terms</w:t>
            </w:r>
          </w:p>
        </w:tc>
        <w:tc>
          <w:tcPr>
            <w:tcW w:w="1286" w:type="dxa"/>
            <w:tcBorders>
              <w:top w:val="single" w:color="000000" w:sz="8" w:space="0"/>
              <w:left w:val="nil"/>
              <w:bottom w:val="single" w:color="000000" w:sz="8" w:space="0"/>
              <w:right w:val="nil"/>
            </w:tcBorders>
            <w:vAlign w:val="center"/>
          </w:tcPr>
          <w:p w14:paraId="02DB702F">
            <w:pPr>
              <w:spacing w:line="360" w:lineRule="auto"/>
              <w:jc w:val="center"/>
              <w:rPr>
                <w:rFonts w:ascii="Times New Roman" w:hAnsi="Times New Roman" w:eastAsia="宋体" w:cs="Times New Roman"/>
                <w:b/>
                <w:sz w:val="20"/>
                <w:szCs w:val="20"/>
              </w:rPr>
            </w:pPr>
            <w:r>
              <w:rPr>
                <w:rFonts w:ascii="Times New Roman" w:hAnsi="Times New Roman" w:eastAsia="宋体" w:cs="Times New Roman"/>
                <w:b/>
                <w:sz w:val="20"/>
                <w:szCs w:val="20"/>
              </w:rPr>
              <w:t>MITE-TIPs Location</w:t>
            </w:r>
          </w:p>
        </w:tc>
        <w:tc>
          <w:tcPr>
            <w:tcW w:w="1447" w:type="dxa"/>
            <w:tcBorders>
              <w:top w:val="single" w:color="000000" w:sz="8" w:space="0"/>
              <w:left w:val="nil"/>
              <w:bottom w:val="single" w:color="000000" w:sz="8" w:space="0"/>
              <w:right w:val="nil"/>
            </w:tcBorders>
            <w:vAlign w:val="center"/>
          </w:tcPr>
          <w:p w14:paraId="107496D8">
            <w:pPr>
              <w:spacing w:line="360" w:lineRule="auto"/>
              <w:jc w:val="center"/>
              <w:rPr>
                <w:rFonts w:ascii="Times New Roman" w:hAnsi="Times New Roman" w:eastAsia="宋体" w:cs="Times New Roman"/>
                <w:b/>
                <w:sz w:val="20"/>
                <w:szCs w:val="20"/>
              </w:rPr>
            </w:pPr>
            <w:r>
              <w:rPr>
                <w:rFonts w:ascii="Times New Roman" w:hAnsi="Times New Roman" w:eastAsia="宋体" w:cs="Times New Roman"/>
                <w:b/>
                <w:sz w:val="20"/>
                <w:szCs w:val="20"/>
              </w:rPr>
              <w:t>Gene ID</w:t>
            </w:r>
          </w:p>
        </w:tc>
        <w:tc>
          <w:tcPr>
            <w:tcW w:w="1640" w:type="dxa"/>
            <w:tcBorders>
              <w:top w:val="single" w:color="000000" w:sz="8" w:space="0"/>
              <w:left w:val="nil"/>
              <w:bottom w:val="single" w:color="000000" w:sz="8" w:space="0"/>
              <w:right w:val="nil"/>
            </w:tcBorders>
            <w:vAlign w:val="center"/>
          </w:tcPr>
          <w:p w14:paraId="7B22E1F0">
            <w:pPr>
              <w:spacing w:line="360" w:lineRule="auto"/>
              <w:jc w:val="center"/>
              <w:rPr>
                <w:rFonts w:hint="eastAsia" w:ascii="Times New Roman" w:hAnsi="Times New Roman" w:eastAsia="宋体" w:cs="Times New Roman"/>
                <w:b/>
                <w:sz w:val="20"/>
                <w:szCs w:val="20"/>
                <w:lang w:val="en-US" w:eastAsia="zh-CN"/>
              </w:rPr>
            </w:pPr>
            <w:r>
              <w:rPr>
                <w:rFonts w:ascii="Times New Roman" w:hAnsi="Times New Roman" w:eastAsia="宋体" w:cs="Times New Roman"/>
                <w:b/>
                <w:sz w:val="20"/>
                <w:szCs w:val="20"/>
              </w:rPr>
              <w:t>Gene Symbol</w:t>
            </w:r>
            <w:r>
              <w:rPr>
                <w:rFonts w:hint="eastAsia" w:ascii="Times New Roman" w:hAnsi="Times New Roman" w:eastAsia="宋体" w:cs="Times New Roman"/>
                <w:b/>
                <w:sz w:val="20"/>
                <w:szCs w:val="20"/>
                <w:lang w:val="en-US" w:eastAsia="zh-CN"/>
              </w:rPr>
              <w:t>s</w:t>
            </w:r>
          </w:p>
        </w:tc>
        <w:tc>
          <w:tcPr>
            <w:tcW w:w="4149" w:type="dxa"/>
            <w:tcBorders>
              <w:top w:val="single" w:color="000000" w:sz="8" w:space="0"/>
              <w:left w:val="nil"/>
              <w:bottom w:val="single" w:color="000000" w:sz="8" w:space="0"/>
              <w:right w:val="nil"/>
            </w:tcBorders>
            <w:vAlign w:val="center"/>
          </w:tcPr>
          <w:p w14:paraId="5BA4F779">
            <w:pPr>
              <w:spacing w:line="360" w:lineRule="auto"/>
              <w:jc w:val="center"/>
              <w:rPr>
                <w:rFonts w:ascii="Times New Roman" w:hAnsi="Times New Roman" w:eastAsia="宋体" w:cs="Times New Roman"/>
                <w:b/>
                <w:sz w:val="20"/>
                <w:szCs w:val="20"/>
              </w:rPr>
            </w:pPr>
            <w:r>
              <w:rPr>
                <w:rFonts w:ascii="Times New Roman" w:hAnsi="Times New Roman" w:eastAsia="宋体" w:cs="Times New Roman"/>
                <w:b/>
                <w:sz w:val="20"/>
                <w:szCs w:val="20"/>
              </w:rPr>
              <w:t>Function</w:t>
            </w:r>
          </w:p>
        </w:tc>
        <w:tc>
          <w:tcPr>
            <w:tcW w:w="1794" w:type="dxa"/>
            <w:tcBorders>
              <w:top w:val="single" w:color="000000" w:sz="8" w:space="0"/>
              <w:left w:val="nil"/>
              <w:bottom w:val="single" w:color="000000" w:sz="8" w:space="0"/>
              <w:right w:val="nil"/>
            </w:tcBorders>
            <w:vAlign w:val="center"/>
          </w:tcPr>
          <w:p w14:paraId="4DA5BB06">
            <w:pPr>
              <w:spacing w:line="360" w:lineRule="auto"/>
              <w:jc w:val="center"/>
              <w:rPr>
                <w:rFonts w:ascii="Times New Roman" w:hAnsi="Times New Roman" w:eastAsia="宋体" w:cs="Times New Roman"/>
                <w:b/>
                <w:sz w:val="20"/>
                <w:szCs w:val="20"/>
              </w:rPr>
            </w:pPr>
            <w:r>
              <w:rPr>
                <w:rFonts w:ascii="Times New Roman" w:hAnsi="Times New Roman" w:eastAsia="宋体" w:cs="Times New Roman"/>
                <w:b/>
                <w:sz w:val="20"/>
                <w:szCs w:val="20"/>
              </w:rPr>
              <w:t>Reference</w:t>
            </w:r>
          </w:p>
        </w:tc>
      </w:tr>
      <w:tr w14:paraId="64AD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268" w:type="dxa"/>
            <w:tcBorders>
              <w:top w:val="single" w:color="000000" w:sz="8" w:space="0"/>
              <w:left w:val="nil"/>
              <w:bottom w:val="nil"/>
              <w:right w:val="nil"/>
            </w:tcBorders>
            <w:vAlign w:val="center"/>
          </w:tcPr>
          <w:p w14:paraId="6EE63AE7">
            <w:pPr>
              <w:spacing w:line="360" w:lineRule="auto"/>
              <w:jc w:val="center"/>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SA3-7</w:t>
            </w:r>
          </w:p>
        </w:tc>
        <w:tc>
          <w:tcPr>
            <w:tcW w:w="2246" w:type="dxa"/>
            <w:tcBorders>
              <w:top w:val="single" w:color="000000" w:sz="8" w:space="0"/>
              <w:left w:val="nil"/>
              <w:bottom w:val="nil"/>
              <w:right w:val="nil"/>
            </w:tcBorders>
            <w:vAlign w:val="center"/>
          </w:tcPr>
          <w:p w14:paraId="1672AE8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plant epidermis</w:t>
            </w:r>
            <w:r>
              <w:rPr>
                <w:rFonts w:hint="eastAsia" w:ascii="Times New Roman" w:hAnsi="Times New Roman" w:eastAsia="宋体" w:cs="Times New Roman"/>
                <w:i w:val="0"/>
                <w:iCs w:val="0"/>
                <w:color w:val="000000"/>
                <w:kern w:val="0"/>
                <w:sz w:val="20"/>
                <w:szCs w:val="20"/>
                <w:u w:val="none"/>
                <w:lang w:val="en-US" w:eastAsia="zh-CN" w:bidi="ar"/>
              </w:rPr>
              <w:t xml:space="preserve"> </w:t>
            </w:r>
            <w:r>
              <w:rPr>
                <w:rFonts w:hint="default" w:ascii="Times New Roman" w:hAnsi="Times New Roman" w:eastAsia="宋体" w:cs="Times New Roman"/>
                <w:i w:val="0"/>
                <w:iCs w:val="0"/>
                <w:color w:val="000000"/>
                <w:kern w:val="0"/>
                <w:sz w:val="20"/>
                <w:szCs w:val="20"/>
                <w:u w:val="none"/>
                <w:lang w:val="en-US" w:eastAsia="zh-CN" w:bidi="ar"/>
              </w:rPr>
              <w:t>development</w:t>
            </w:r>
            <w:r>
              <w:rPr>
                <w:rFonts w:hint="eastAsia" w:ascii="Times New Roman" w:hAnsi="Times New Roman" w:eastAsia="宋体" w:cs="Times New Roman"/>
                <w:i w:val="0"/>
                <w:iCs w:val="0"/>
                <w:color w:val="000000"/>
                <w:kern w:val="0"/>
                <w:sz w:val="20"/>
                <w:szCs w:val="20"/>
                <w:u w:val="none"/>
                <w:lang w:val="en-US" w:eastAsia="zh-CN" w:bidi="ar"/>
              </w:rPr>
              <w:t>、</w:t>
            </w:r>
          </w:p>
          <w:p w14:paraId="39BBB5C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宋体" w:cs="Times New Roman"/>
                <w:i w:val="0"/>
                <w:iCs w:val="0"/>
                <w:color w:val="000000"/>
                <w:kern w:val="0"/>
                <w:sz w:val="20"/>
                <w:szCs w:val="20"/>
                <w:u w:val="none"/>
                <w:lang w:val="en-US" w:eastAsia="zh-CN" w:bidi="ar"/>
              </w:rPr>
              <w:t>shoot system development</w:t>
            </w:r>
          </w:p>
        </w:tc>
        <w:tc>
          <w:tcPr>
            <w:tcW w:w="1286" w:type="dxa"/>
            <w:tcBorders>
              <w:top w:val="single" w:color="000000" w:sz="8" w:space="0"/>
              <w:left w:val="nil"/>
              <w:bottom w:val="nil"/>
              <w:right w:val="nil"/>
            </w:tcBorders>
            <w:vAlign w:val="center"/>
          </w:tcPr>
          <w:p w14:paraId="43C61DBC">
            <w:pPr>
              <w:spacing w:line="360" w:lineRule="auto"/>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D</w:t>
            </w:r>
            <w:r>
              <w:rPr>
                <w:rFonts w:ascii="Times New Roman" w:hAnsi="Times New Roman" w:eastAsia="宋体" w:cs="Times New Roman"/>
                <w:sz w:val="20"/>
                <w:szCs w:val="20"/>
              </w:rPr>
              <w:t>own</w:t>
            </w:r>
          </w:p>
        </w:tc>
        <w:tc>
          <w:tcPr>
            <w:tcW w:w="1447" w:type="dxa"/>
            <w:tcBorders>
              <w:top w:val="single" w:color="000000" w:sz="8" w:space="0"/>
              <w:left w:val="nil"/>
              <w:bottom w:val="nil"/>
              <w:right w:val="nil"/>
            </w:tcBorders>
            <w:vAlign w:val="center"/>
          </w:tcPr>
          <w:p w14:paraId="68144EBB">
            <w:pPr>
              <w:spacing w:line="360" w:lineRule="auto"/>
              <w:jc w:val="center"/>
              <w:rPr>
                <w:rFonts w:ascii="Times New Roman" w:hAnsi="Times New Roman" w:eastAsia="宋体" w:cs="Times New Roman"/>
                <w:sz w:val="20"/>
                <w:szCs w:val="20"/>
              </w:rPr>
            </w:pPr>
            <w:r>
              <w:rPr>
                <w:rFonts w:ascii="Times New Roman" w:hAnsi="Times New Roman" w:eastAsia="宋体" w:cs="Times New Roman"/>
                <w:i w:val="0"/>
                <w:iCs w:val="0"/>
                <w:sz w:val="20"/>
                <w:szCs w:val="20"/>
              </w:rPr>
              <w:t>Os07g0132300</w:t>
            </w:r>
          </w:p>
        </w:tc>
        <w:tc>
          <w:tcPr>
            <w:tcW w:w="1640" w:type="dxa"/>
            <w:tcBorders>
              <w:top w:val="single" w:color="000000" w:sz="8" w:space="0"/>
              <w:left w:val="nil"/>
              <w:bottom w:val="nil"/>
              <w:right w:val="nil"/>
            </w:tcBorders>
            <w:vAlign w:val="center"/>
          </w:tcPr>
          <w:p w14:paraId="27B6BCE0">
            <w:pPr>
              <w:spacing w:line="360" w:lineRule="auto"/>
              <w:jc w:val="center"/>
              <w:rPr>
                <w:rFonts w:ascii="Times New Roman" w:hAnsi="Times New Roman" w:eastAsia="宋体" w:cs="Times New Roman"/>
                <w:sz w:val="20"/>
                <w:szCs w:val="20"/>
              </w:rPr>
            </w:pPr>
            <w:r>
              <w:rPr>
                <w:rFonts w:ascii="Times New Roman" w:hAnsi="Times New Roman" w:eastAsia="宋体" w:cs="Times New Roman"/>
                <w:i/>
                <w:iCs/>
                <w:sz w:val="20"/>
                <w:szCs w:val="20"/>
              </w:rPr>
              <w:t>OsEPFL5</w:t>
            </w:r>
          </w:p>
        </w:tc>
        <w:tc>
          <w:tcPr>
            <w:tcW w:w="4149" w:type="dxa"/>
            <w:tcBorders>
              <w:top w:val="single" w:color="000000" w:sz="8" w:space="0"/>
              <w:left w:val="nil"/>
              <w:bottom w:val="nil"/>
              <w:right w:val="nil"/>
            </w:tcBorders>
            <w:vAlign w:val="center"/>
          </w:tcPr>
          <w:p w14:paraId="6D556859">
            <w:pPr>
              <w:spacing w:line="360" w:lineRule="auto"/>
              <w:jc w:val="left"/>
              <w:rPr>
                <w:rFonts w:hint="default" w:ascii="Times New Roman" w:hAnsi="Times New Roman" w:eastAsia="宋体" w:cs="Times New Roman"/>
                <w:sz w:val="20"/>
                <w:szCs w:val="20"/>
                <w:lang w:val="en-US"/>
              </w:rPr>
            </w:pPr>
            <w:r>
              <w:rPr>
                <w:rFonts w:hint="eastAsia" w:ascii="Times New Roman" w:hAnsi="Times New Roman" w:eastAsia="宋体" w:cs="Times New Roman"/>
                <w:i/>
                <w:iCs/>
                <w:sz w:val="20"/>
                <w:szCs w:val="20"/>
                <w:lang w:val="en-US" w:eastAsia="zh-CN"/>
              </w:rPr>
              <w:t>OsEPF/EPFL</w:t>
            </w:r>
            <w:r>
              <w:rPr>
                <w:rFonts w:hint="eastAsia" w:ascii="Times New Roman" w:hAnsi="Times New Roman" w:eastAsia="宋体" w:cs="Times New Roman"/>
                <w:sz w:val="20"/>
                <w:szCs w:val="20"/>
                <w:lang w:val="en-US" w:eastAsia="zh-CN"/>
              </w:rPr>
              <w:t xml:space="preserve"> family genes encode small secretory signal peptides that play regulatory roles in plant growth and development. Some of these</w:t>
            </w:r>
            <w:r>
              <w:rPr>
                <w:rFonts w:hint="eastAsia" w:ascii="Times New Roman" w:hAnsi="Times New Roman" w:eastAsia="宋体" w:cs="Times New Roman"/>
                <w:i/>
                <w:iCs/>
                <w:sz w:val="20"/>
                <w:szCs w:val="20"/>
                <w:lang w:val="en-US" w:eastAsia="zh-CN"/>
              </w:rPr>
              <w:t xml:space="preserve"> OsEPF/EPFL</w:t>
            </w:r>
            <w:r>
              <w:rPr>
                <w:rFonts w:hint="eastAsia" w:ascii="Times New Roman" w:hAnsi="Times New Roman" w:eastAsia="宋体" w:cs="Times New Roman"/>
                <w:sz w:val="20"/>
                <w:szCs w:val="20"/>
                <w:lang w:val="en-US" w:eastAsia="zh-CN"/>
              </w:rPr>
              <w:t xml:space="preserve"> genes play important roles in awn development.</w:t>
            </w:r>
          </w:p>
        </w:tc>
        <w:tc>
          <w:tcPr>
            <w:tcW w:w="1794" w:type="dxa"/>
            <w:tcBorders>
              <w:top w:val="single" w:color="000000" w:sz="8" w:space="0"/>
              <w:left w:val="nil"/>
              <w:bottom w:val="nil"/>
              <w:right w:val="nil"/>
            </w:tcBorders>
            <w:vAlign w:val="center"/>
          </w:tcPr>
          <w:p w14:paraId="35160014">
            <w:pPr>
              <w:spacing w:line="360" w:lineRule="auto"/>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highlight w:val="none"/>
                <w:lang w:val="en-US" w:eastAsia="zh-CN"/>
              </w:rPr>
              <w:t>Xiong et al., 2022; Guo et al., 2023</w:t>
            </w:r>
          </w:p>
        </w:tc>
      </w:tr>
      <w:tr w14:paraId="33BF5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1268" w:type="dxa"/>
            <w:vMerge w:val="restart"/>
            <w:tcBorders>
              <w:top w:val="nil"/>
              <w:left w:val="nil"/>
              <w:bottom w:val="nil"/>
              <w:right w:val="nil"/>
            </w:tcBorders>
            <w:vAlign w:val="center"/>
          </w:tcPr>
          <w:p w14:paraId="11159CD9">
            <w:pPr>
              <w:spacing w:line="360" w:lineRule="auto"/>
              <w:jc w:val="center"/>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SA6-2</w:t>
            </w:r>
          </w:p>
          <w:p w14:paraId="1564B76D">
            <w:pPr>
              <w:spacing w:line="360" w:lineRule="auto"/>
              <w:jc w:val="center"/>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SC6-6</w:t>
            </w:r>
          </w:p>
        </w:tc>
        <w:tc>
          <w:tcPr>
            <w:tcW w:w="2246" w:type="dxa"/>
            <w:tcBorders>
              <w:top w:val="nil"/>
              <w:left w:val="nil"/>
              <w:bottom w:val="nil"/>
              <w:right w:val="nil"/>
            </w:tcBorders>
            <w:vAlign w:val="center"/>
          </w:tcPr>
          <w:p w14:paraId="777FBACC">
            <w:pPr>
              <w:spacing w:line="360" w:lineRule="auto"/>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shoot system development</w:t>
            </w:r>
          </w:p>
        </w:tc>
        <w:tc>
          <w:tcPr>
            <w:tcW w:w="1286" w:type="dxa"/>
            <w:tcBorders>
              <w:top w:val="nil"/>
              <w:left w:val="nil"/>
              <w:bottom w:val="nil"/>
              <w:right w:val="nil"/>
            </w:tcBorders>
            <w:vAlign w:val="center"/>
          </w:tcPr>
          <w:p w14:paraId="595F1A11">
            <w:pPr>
              <w:spacing w:line="360" w:lineRule="auto"/>
              <w:jc w:val="center"/>
              <w:rPr>
                <w:rFonts w:ascii="Times New Roman" w:hAnsi="Times New Roman" w:eastAsia="宋体" w:cs="Times New Roman"/>
                <w:sz w:val="20"/>
                <w:szCs w:val="20"/>
              </w:rPr>
            </w:pPr>
            <w:r>
              <w:rPr>
                <w:rFonts w:ascii="Times New Roman" w:hAnsi="Times New Roman" w:eastAsia="宋体" w:cs="Times New Roman"/>
                <w:sz w:val="20"/>
                <w:szCs w:val="20"/>
              </w:rPr>
              <w:t>Up</w:t>
            </w:r>
          </w:p>
        </w:tc>
        <w:tc>
          <w:tcPr>
            <w:tcW w:w="1447" w:type="dxa"/>
            <w:tcBorders>
              <w:top w:val="nil"/>
              <w:left w:val="nil"/>
              <w:bottom w:val="nil"/>
              <w:right w:val="nil"/>
            </w:tcBorders>
            <w:vAlign w:val="center"/>
          </w:tcPr>
          <w:p w14:paraId="4FB7B117">
            <w:pPr>
              <w:spacing w:line="360" w:lineRule="auto"/>
              <w:jc w:val="center"/>
              <w:rPr>
                <w:rFonts w:ascii="Times New Roman" w:hAnsi="Times New Roman" w:eastAsia="宋体" w:cs="Times New Roman"/>
                <w:sz w:val="20"/>
                <w:szCs w:val="20"/>
              </w:rPr>
            </w:pPr>
            <w:r>
              <w:rPr>
                <w:rFonts w:ascii="Times New Roman" w:hAnsi="Times New Roman" w:eastAsia="宋体" w:cs="Times New Roman"/>
                <w:i w:val="0"/>
                <w:iCs w:val="0"/>
                <w:sz w:val="20"/>
                <w:szCs w:val="20"/>
              </w:rPr>
              <w:t>Os09g0395300</w:t>
            </w:r>
          </w:p>
        </w:tc>
        <w:tc>
          <w:tcPr>
            <w:tcW w:w="1640" w:type="dxa"/>
            <w:tcBorders>
              <w:top w:val="nil"/>
              <w:left w:val="nil"/>
              <w:bottom w:val="nil"/>
              <w:right w:val="nil"/>
            </w:tcBorders>
            <w:vAlign w:val="center"/>
          </w:tcPr>
          <w:p w14:paraId="1FCDAE38">
            <w:pPr>
              <w:spacing w:line="360" w:lineRule="auto"/>
              <w:jc w:val="center"/>
              <w:rPr>
                <w:rFonts w:ascii="Times New Roman" w:hAnsi="Times New Roman" w:eastAsia="宋体" w:cs="Times New Roman"/>
                <w:sz w:val="20"/>
                <w:szCs w:val="20"/>
              </w:rPr>
            </w:pPr>
            <w:r>
              <w:rPr>
                <w:rFonts w:ascii="Times New Roman" w:hAnsi="Times New Roman" w:eastAsia="宋体" w:cs="Times New Roman"/>
                <w:i/>
                <w:iCs/>
                <w:sz w:val="20"/>
                <w:szCs w:val="20"/>
              </w:rPr>
              <w:t>SLL1</w:t>
            </w:r>
            <w:r>
              <w:rPr>
                <w:rFonts w:ascii="Times New Roman" w:hAnsi="Times New Roman" w:eastAsia="宋体" w:cs="Times New Roman"/>
                <w:sz w:val="20"/>
                <w:szCs w:val="20"/>
              </w:rPr>
              <w:t xml:space="preserve">; </w:t>
            </w:r>
            <w:r>
              <w:rPr>
                <w:rFonts w:ascii="Times New Roman" w:hAnsi="Times New Roman" w:eastAsia="宋体" w:cs="Times New Roman"/>
                <w:i/>
                <w:iCs/>
                <w:sz w:val="20"/>
                <w:szCs w:val="20"/>
              </w:rPr>
              <w:t>AH2</w:t>
            </w:r>
          </w:p>
        </w:tc>
        <w:tc>
          <w:tcPr>
            <w:tcW w:w="4149" w:type="dxa"/>
            <w:tcBorders>
              <w:top w:val="nil"/>
              <w:left w:val="nil"/>
              <w:bottom w:val="nil"/>
              <w:right w:val="nil"/>
            </w:tcBorders>
            <w:vAlign w:val="center"/>
          </w:tcPr>
          <w:p w14:paraId="543A0EA4">
            <w:pPr>
              <w:spacing w:line="360" w:lineRule="auto"/>
              <w:jc w:val="left"/>
              <w:rPr>
                <w:rFonts w:ascii="Times New Roman" w:hAnsi="Times New Roman" w:eastAsia="宋体" w:cs="Times New Roman"/>
                <w:sz w:val="20"/>
                <w:szCs w:val="20"/>
              </w:rPr>
            </w:pPr>
            <w:bookmarkStart w:id="0" w:name="OLE_LINK1"/>
            <w:r>
              <w:rPr>
                <w:rFonts w:hint="eastAsia" w:ascii="Times New Roman" w:hAnsi="Times New Roman" w:eastAsia="宋体" w:cs="Times New Roman"/>
                <w:i/>
                <w:iCs/>
                <w:sz w:val="20"/>
                <w:szCs w:val="20"/>
                <w:lang w:val="en-US" w:eastAsia="zh-CN"/>
              </w:rPr>
              <w:t xml:space="preserve">SLL1 </w:t>
            </w:r>
            <w:r>
              <w:rPr>
                <w:rFonts w:hint="eastAsia" w:ascii="Times New Roman" w:hAnsi="Times New Roman" w:eastAsia="宋体" w:cs="Times New Roman"/>
                <w:sz w:val="20"/>
                <w:szCs w:val="20"/>
                <w:lang w:val="en-US" w:eastAsia="zh-CN"/>
              </w:rPr>
              <w:t>encodes MYB domain protein, and its dysfunction may lead to enhanced leaf rolling and photosynthesis in rice, as well as smaller grain size and altered grain quality, and may play a role in multiple aspects of plant development.</w:t>
            </w:r>
            <w:bookmarkEnd w:id="0"/>
          </w:p>
        </w:tc>
        <w:tc>
          <w:tcPr>
            <w:tcW w:w="1794" w:type="dxa"/>
            <w:tcBorders>
              <w:top w:val="nil"/>
              <w:left w:val="nil"/>
              <w:bottom w:val="nil"/>
              <w:right w:val="nil"/>
            </w:tcBorders>
            <w:vAlign w:val="center"/>
          </w:tcPr>
          <w:p w14:paraId="2D271EC6">
            <w:pPr>
              <w:spacing w:line="360" w:lineRule="auto"/>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highlight w:val="none"/>
                <w:lang w:val="en-US" w:eastAsia="zh-CN"/>
              </w:rPr>
              <w:t>Zhang et al., 2009; Ren et al., 2019</w:t>
            </w:r>
          </w:p>
        </w:tc>
      </w:tr>
      <w:tr w14:paraId="50A3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1268" w:type="dxa"/>
            <w:vMerge w:val="continue"/>
            <w:tcBorders>
              <w:top w:val="nil"/>
              <w:left w:val="nil"/>
              <w:bottom w:val="single" w:color="000000" w:sz="8" w:space="0"/>
              <w:right w:val="nil"/>
            </w:tcBorders>
            <w:vAlign w:val="center"/>
          </w:tcPr>
          <w:p w14:paraId="62B87BBD">
            <w:pPr>
              <w:spacing w:line="360" w:lineRule="auto"/>
              <w:jc w:val="center"/>
              <w:rPr>
                <w:rFonts w:ascii="Times New Roman" w:hAnsi="Times New Roman" w:eastAsia="宋体" w:cs="Times New Roman"/>
                <w:b/>
                <w:sz w:val="20"/>
                <w:szCs w:val="20"/>
              </w:rPr>
            </w:pPr>
          </w:p>
        </w:tc>
        <w:tc>
          <w:tcPr>
            <w:tcW w:w="2246" w:type="dxa"/>
            <w:tcBorders>
              <w:top w:val="nil"/>
              <w:left w:val="nil"/>
              <w:bottom w:val="single" w:color="000000" w:sz="8" w:space="0"/>
              <w:right w:val="nil"/>
            </w:tcBorders>
            <w:vAlign w:val="center"/>
          </w:tcPr>
          <w:p w14:paraId="22515777">
            <w:pPr>
              <w:spacing w:line="360" w:lineRule="auto"/>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regulation of growth、regulation of immune response</w:t>
            </w:r>
          </w:p>
        </w:tc>
        <w:tc>
          <w:tcPr>
            <w:tcW w:w="1286" w:type="dxa"/>
            <w:tcBorders>
              <w:top w:val="nil"/>
              <w:left w:val="nil"/>
              <w:bottom w:val="single" w:color="000000" w:sz="8" w:space="0"/>
              <w:right w:val="nil"/>
            </w:tcBorders>
            <w:vAlign w:val="center"/>
          </w:tcPr>
          <w:p w14:paraId="0DE42852">
            <w:pPr>
              <w:spacing w:line="360" w:lineRule="auto"/>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Down</w:t>
            </w:r>
          </w:p>
        </w:tc>
        <w:tc>
          <w:tcPr>
            <w:tcW w:w="1447" w:type="dxa"/>
            <w:tcBorders>
              <w:top w:val="nil"/>
              <w:left w:val="nil"/>
              <w:bottom w:val="single" w:color="000000" w:sz="8" w:space="0"/>
              <w:right w:val="nil"/>
            </w:tcBorders>
            <w:vAlign w:val="center"/>
          </w:tcPr>
          <w:p w14:paraId="23BFA034">
            <w:pPr>
              <w:spacing w:line="360" w:lineRule="auto"/>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i w:val="0"/>
                <w:iCs w:val="0"/>
                <w:sz w:val="20"/>
                <w:szCs w:val="20"/>
                <w:lang w:val="en-US" w:eastAsia="zh-CN"/>
              </w:rPr>
              <w:t>Os05g0333200</w:t>
            </w:r>
          </w:p>
        </w:tc>
        <w:tc>
          <w:tcPr>
            <w:tcW w:w="1640" w:type="dxa"/>
            <w:tcBorders>
              <w:top w:val="nil"/>
              <w:left w:val="nil"/>
              <w:bottom w:val="single" w:color="000000" w:sz="8" w:space="0"/>
              <w:right w:val="nil"/>
            </w:tcBorders>
            <w:vAlign w:val="center"/>
          </w:tcPr>
          <w:p w14:paraId="7BD0964F">
            <w:pPr>
              <w:spacing w:line="360" w:lineRule="auto"/>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i/>
                <w:iCs/>
                <w:sz w:val="20"/>
                <w:szCs w:val="20"/>
                <w:lang w:val="en-US" w:eastAsia="zh-CN"/>
              </w:rPr>
              <w:t>D1</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i/>
                <w:iCs/>
                <w:sz w:val="20"/>
                <w:szCs w:val="20"/>
                <w:lang w:val="en-US" w:eastAsia="zh-CN"/>
              </w:rPr>
              <w:t>RGA1</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i/>
                <w:iCs/>
                <w:sz w:val="20"/>
                <w:szCs w:val="20"/>
                <w:lang w:val="en-US" w:eastAsia="zh-CN"/>
              </w:rPr>
              <w:t>D89</w:t>
            </w:r>
          </w:p>
        </w:tc>
        <w:tc>
          <w:tcPr>
            <w:tcW w:w="4149" w:type="dxa"/>
            <w:tcBorders>
              <w:top w:val="nil"/>
              <w:left w:val="nil"/>
              <w:bottom w:val="single" w:color="000000" w:sz="8" w:space="0"/>
              <w:right w:val="nil"/>
            </w:tcBorders>
            <w:vAlign w:val="center"/>
          </w:tcPr>
          <w:p w14:paraId="4C3891B8">
            <w:pPr>
              <w:spacing w:line="360" w:lineRule="auto"/>
              <w:jc w:val="lef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Recessive mutations in </w:t>
            </w:r>
            <w:r>
              <w:rPr>
                <w:rFonts w:hint="eastAsia" w:ascii="Times New Roman" w:hAnsi="Times New Roman" w:eastAsia="宋体" w:cs="Times New Roman"/>
                <w:i/>
                <w:iCs/>
                <w:sz w:val="20"/>
                <w:szCs w:val="20"/>
                <w:lang w:val="en-US" w:eastAsia="zh-CN"/>
              </w:rPr>
              <w:t>D1</w:t>
            </w:r>
            <w:r>
              <w:rPr>
                <w:rFonts w:hint="eastAsia" w:ascii="Times New Roman" w:hAnsi="Times New Roman" w:eastAsia="宋体" w:cs="Times New Roman"/>
                <w:sz w:val="20"/>
                <w:szCs w:val="20"/>
                <w:lang w:val="en-US" w:eastAsia="zh-CN"/>
              </w:rPr>
              <w:t xml:space="preserve"> may cause dwarf rice, which is also accompanied by other traits. This gene is involved in drought tolerance in the vegetative stage of rice, and its mutant are less sensitive to drought stress.</w:t>
            </w:r>
          </w:p>
        </w:tc>
        <w:tc>
          <w:tcPr>
            <w:tcW w:w="1794" w:type="dxa"/>
            <w:tcBorders>
              <w:top w:val="nil"/>
              <w:left w:val="nil"/>
              <w:bottom w:val="single" w:color="000000" w:sz="8" w:space="0"/>
              <w:right w:val="nil"/>
            </w:tcBorders>
            <w:vAlign w:val="center"/>
          </w:tcPr>
          <w:p w14:paraId="786A6AFF">
            <w:pPr>
              <w:spacing w:line="360" w:lineRule="auto"/>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Ferrero-Serrano and Assmann., 2016; Ferrero-Serrano and Assmann., 2018; Li et al., 2023</w:t>
            </w:r>
          </w:p>
        </w:tc>
      </w:tr>
    </w:tbl>
    <w:p w14:paraId="3CE7C64E"/>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zMjY4ZDVjNjBjNWZmYWQ3MjBmNTRjNjM3N2YxYjYifQ=="/>
  </w:docVars>
  <w:rsids>
    <w:rsidRoot w:val="00000000"/>
    <w:rsid w:val="06A62116"/>
    <w:rsid w:val="10B66F38"/>
    <w:rsid w:val="1E984D2C"/>
    <w:rsid w:val="20730040"/>
    <w:rsid w:val="22AE6F37"/>
    <w:rsid w:val="25F37ECB"/>
    <w:rsid w:val="2813182D"/>
    <w:rsid w:val="29BF17ED"/>
    <w:rsid w:val="2D010DF5"/>
    <w:rsid w:val="3AB807D8"/>
    <w:rsid w:val="3F635318"/>
    <w:rsid w:val="46C55EC7"/>
    <w:rsid w:val="48997CB1"/>
    <w:rsid w:val="48D46E4E"/>
    <w:rsid w:val="4BB21F55"/>
    <w:rsid w:val="4C5B1E0B"/>
    <w:rsid w:val="5A144B1C"/>
    <w:rsid w:val="5E7A0BB4"/>
    <w:rsid w:val="6122378F"/>
    <w:rsid w:val="69A770F6"/>
    <w:rsid w:val="69FA7A81"/>
    <w:rsid w:val="6A6A2531"/>
    <w:rsid w:val="6EC247A2"/>
    <w:rsid w:val="7DF00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193</Words>
  <Characters>1054</Characters>
  <Lines>0</Lines>
  <Paragraphs>0</Paragraphs>
  <TotalTime>868</TotalTime>
  <ScaleCrop>false</ScaleCrop>
  <LinksUpToDate>false</LinksUpToDate>
  <CharactersWithSpaces>1214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2024-01-04T01:13:00Z</dcterms:created>
  <dc:creator>44860</dc:creator>
  <cp:lastModifiedBy>SHAN</cp:lastModifiedBy>
  <dcterms:modified xsi:type="dcterms:W3CDTF">2024-09-05T08:02:47Z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C7D658DED6864C12957D8EC44020CB42_12</vt:lpwstr>
  </property>
</Properties>
</file>